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2339"/>
        <w:gridCol w:w="670"/>
        <w:gridCol w:w="3440"/>
      </w:tblGrid>
      <w:tr w:rsidR="00001F81" w:rsidRPr="005F6DF3" w:rsidTr="007F4F34">
        <w:tc>
          <w:tcPr>
            <w:tcW w:w="3298" w:type="dxa"/>
            <w:hideMark/>
          </w:tcPr>
          <w:p w:rsidR="00001F81" w:rsidRPr="005F6DF3" w:rsidRDefault="00B56D5D" w:rsidP="00B56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2027AD">
              <w:rPr>
                <w:color w:val="000000"/>
                <w:sz w:val="28"/>
                <w:szCs w:val="28"/>
              </w:rPr>
              <w:t>71/38</w:t>
            </w:r>
            <w:r w:rsidR="007F4F34">
              <w:rPr>
                <w:color w:val="000000"/>
                <w:sz w:val="28"/>
                <w:szCs w:val="28"/>
              </w:rPr>
              <w:t>6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F4F34" w:rsidTr="007F4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10" w:type="dxa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4F34" w:rsidRDefault="007F4F34" w:rsidP="00FD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Инструкции о порядке и формах учета и отчетности о поступлении средств в избирательные фонды кандидатов</w:t>
            </w:r>
            <w:r w:rsidR="00FD3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расходовании этих средств при проведении </w:t>
            </w:r>
            <w:r w:rsidR="00D54996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 депутатов Думы городского округа Спасск-Дальний</w:t>
            </w:r>
            <w:r w:rsidR="00D54996">
              <w:rPr>
                <w:sz w:val="28"/>
                <w:szCs w:val="28"/>
              </w:rPr>
              <w:t>, назначенных на 11 сентября 2022г.</w:t>
            </w:r>
          </w:p>
        </w:tc>
      </w:tr>
    </w:tbl>
    <w:p w:rsidR="007F4F34" w:rsidRDefault="007F4F34" w:rsidP="007F4F34">
      <w:pPr>
        <w:suppressAutoHyphens/>
        <w:rPr>
          <w:sz w:val="28"/>
          <w:szCs w:val="28"/>
        </w:rPr>
      </w:pPr>
    </w:p>
    <w:p w:rsidR="007F4F34" w:rsidRDefault="007F4F34" w:rsidP="007F4F3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25, пунктом 12 статьи 58 Федерального закона «Об основных гарантиях избирательных прав и права на участие в референдуме граждан Российской Федерации», статьей 27, частью 18 статьи 69 Избирательного кодекса Приморского края, </w:t>
      </w:r>
      <w:r>
        <w:rPr>
          <w:sz w:val="28"/>
          <w:szCs w:val="28"/>
        </w:rPr>
        <w:t xml:space="preserve">решением Избирательной комиссии Приморского края от </w:t>
      </w:r>
      <w:r>
        <w:rPr>
          <w:color w:val="000000"/>
          <w:sz w:val="28"/>
          <w:szCs w:val="28"/>
        </w:rPr>
        <w:t xml:space="preserve">11 июня 2021 года </w:t>
      </w:r>
    </w:p>
    <w:p w:rsidR="007F4F34" w:rsidRDefault="007F4F34" w:rsidP="007F4F34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271/1831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6"/>
          <w:lang w:eastAsia="en-US"/>
        </w:rPr>
        <w:t>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</w:t>
      </w:r>
      <w:r>
        <w:rPr>
          <w:b/>
          <w:bCs/>
          <w:i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территориальная избирательная комиссия города Спасска-Дальний</w:t>
      </w:r>
    </w:p>
    <w:p w:rsidR="007F4F34" w:rsidRDefault="007F4F34" w:rsidP="007F4F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F4F34" w:rsidRDefault="00D54996" w:rsidP="007F4F34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проведении дополнительных выборов депутатов Думы городского округа Спасск-Дальний, назначенных на 11 сентября 2022 года руководствоваться </w:t>
      </w:r>
      <w:r w:rsidR="007F4F34">
        <w:rPr>
          <w:bCs/>
          <w:sz w:val="28"/>
          <w:szCs w:val="28"/>
        </w:rPr>
        <w:t xml:space="preserve"> Инструкци</w:t>
      </w:r>
      <w:r>
        <w:rPr>
          <w:bCs/>
          <w:sz w:val="28"/>
          <w:szCs w:val="28"/>
        </w:rPr>
        <w:t>ей</w:t>
      </w:r>
      <w:r w:rsidR="007F4F34">
        <w:rPr>
          <w:bCs/>
          <w:sz w:val="28"/>
          <w:szCs w:val="28"/>
        </w:rPr>
        <w:t xml:space="preserve"> </w:t>
      </w:r>
      <w:r w:rsidR="007F4F34">
        <w:rPr>
          <w:sz w:val="28"/>
          <w:szCs w:val="28"/>
        </w:rPr>
        <w:t xml:space="preserve">о порядке и формах учета и отчетности </w:t>
      </w:r>
      <w:r w:rsidR="00FD3070">
        <w:rPr>
          <w:sz w:val="28"/>
          <w:szCs w:val="28"/>
        </w:rPr>
        <w:t xml:space="preserve">кандидатов </w:t>
      </w:r>
      <w:r w:rsidR="007F4F34">
        <w:rPr>
          <w:sz w:val="28"/>
          <w:szCs w:val="28"/>
        </w:rPr>
        <w:t xml:space="preserve">о поступлении средств в избирательные фонды кандидатов и расходовании этих средств, при проведении выборов депутатов Думы </w:t>
      </w:r>
      <w:r w:rsidR="007F4F34">
        <w:rPr>
          <w:sz w:val="28"/>
          <w:szCs w:val="28"/>
        </w:rPr>
        <w:lastRenderedPageBreak/>
        <w:t>городского округа Спасск-</w:t>
      </w:r>
      <w:r w:rsidR="00FD3070">
        <w:rPr>
          <w:sz w:val="28"/>
          <w:szCs w:val="28"/>
        </w:rPr>
        <w:t>Д</w:t>
      </w:r>
      <w:r w:rsidR="007F4F34">
        <w:rPr>
          <w:sz w:val="28"/>
          <w:szCs w:val="28"/>
        </w:rPr>
        <w:t>альний</w:t>
      </w:r>
      <w:r w:rsidR="00FD3070">
        <w:rPr>
          <w:sz w:val="28"/>
          <w:szCs w:val="28"/>
        </w:rPr>
        <w:t>, утвержденной решением территориальной избирательной комиссии от 01 июля 2021 года №10/35</w:t>
      </w:r>
      <w:r w:rsidR="007F4F34">
        <w:rPr>
          <w:sz w:val="28"/>
          <w:szCs w:val="28"/>
        </w:rPr>
        <w:t>.</w:t>
      </w:r>
    </w:p>
    <w:p w:rsidR="005A0234" w:rsidRPr="00C0783D" w:rsidRDefault="00FD3070" w:rsidP="00E9415E">
      <w:pPr>
        <w:spacing w:line="312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15E">
        <w:rPr>
          <w:sz w:val="28"/>
          <w:szCs w:val="28"/>
        </w:rPr>
        <w:t>. </w:t>
      </w:r>
      <w:r w:rsidR="005A0234" w:rsidRPr="00C0783D">
        <w:rPr>
          <w:sz w:val="28"/>
          <w:szCs w:val="28"/>
        </w:rPr>
        <w:t xml:space="preserve"> Разместить настоящее решение на официальном сайте Администрации </w:t>
      </w:r>
      <w:r w:rsidR="005A0234">
        <w:rPr>
          <w:sz w:val="28"/>
          <w:szCs w:val="28"/>
        </w:rPr>
        <w:t>городского округа Спасск-Дальний</w:t>
      </w:r>
      <w:r w:rsidR="005A0234" w:rsidRPr="00C0783D">
        <w:rPr>
          <w:sz w:val="28"/>
          <w:szCs w:val="28"/>
        </w:rPr>
        <w:t xml:space="preserve"> в разделе</w:t>
      </w:r>
      <w:r w:rsidR="00E9415E">
        <w:rPr>
          <w:sz w:val="28"/>
          <w:szCs w:val="28"/>
        </w:rPr>
        <w:t xml:space="preserve"> </w:t>
      </w:r>
      <w:r w:rsidR="005A0234">
        <w:rPr>
          <w:sz w:val="28"/>
          <w:szCs w:val="28"/>
        </w:rPr>
        <w:t xml:space="preserve"> </w:t>
      </w:r>
      <w:r w:rsidR="005A0234" w:rsidRPr="00C0783D">
        <w:rPr>
          <w:sz w:val="28"/>
          <w:szCs w:val="28"/>
        </w:rPr>
        <w:t>«</w:t>
      </w:r>
      <w:r w:rsidR="005A0234">
        <w:rPr>
          <w:sz w:val="28"/>
          <w:szCs w:val="28"/>
        </w:rPr>
        <w:t>Т</w:t>
      </w:r>
      <w:r w:rsidR="005A0234" w:rsidRPr="00C0783D">
        <w:rPr>
          <w:sz w:val="28"/>
          <w:szCs w:val="28"/>
        </w:rPr>
        <w:t>ерриториальная избирательная комиссия</w:t>
      </w:r>
      <w:r w:rsidR="00E9415E">
        <w:rPr>
          <w:sz w:val="28"/>
          <w:szCs w:val="28"/>
        </w:rPr>
        <w:t xml:space="preserve"> </w:t>
      </w:r>
      <w:r w:rsidR="005A0234">
        <w:rPr>
          <w:sz w:val="28"/>
          <w:szCs w:val="28"/>
        </w:rPr>
        <w:t xml:space="preserve"> города Спасска-Дальнего</w:t>
      </w:r>
      <w:r w:rsidR="005A0234" w:rsidRPr="00C0783D">
        <w:rPr>
          <w:sz w:val="28"/>
          <w:szCs w:val="28"/>
        </w:rPr>
        <w:t xml:space="preserve">» в информационно-телекоммуникационной сети «Интернет». </w:t>
      </w:r>
    </w:p>
    <w:p w:rsidR="0075330E" w:rsidRDefault="0075330E" w:rsidP="0075330E">
      <w:pPr>
        <w:pStyle w:val="-14"/>
        <w:ind w:firstLine="0"/>
      </w:pPr>
    </w:p>
    <w:p w:rsidR="00E9415E" w:rsidRDefault="00E9415E" w:rsidP="00B56D5D">
      <w:pPr>
        <w:pStyle w:val="-14"/>
        <w:ind w:left="-284"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B56D5D" w:rsidRPr="00B56D5D">
        <w:t>Е.А.Москалец</w:t>
      </w:r>
    </w:p>
    <w:p w:rsidR="007F4F34" w:rsidRDefault="007F4F34" w:rsidP="00B56D5D">
      <w:pPr>
        <w:pStyle w:val="-14"/>
        <w:ind w:left="-284" w:firstLine="0"/>
      </w:pPr>
    </w:p>
    <w:p w:rsidR="007F4F34" w:rsidRDefault="007F4F34" w:rsidP="00B56D5D">
      <w:pPr>
        <w:pStyle w:val="-14"/>
        <w:ind w:left="-284" w:firstLine="0"/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p w:rsidR="00FD3070" w:rsidRDefault="00FD3070" w:rsidP="00D54996">
      <w:pPr>
        <w:pStyle w:val="ConsNormal"/>
        <w:widowControl/>
        <w:ind w:firstLine="0"/>
        <w:jc w:val="center"/>
        <w:rPr>
          <w:b/>
          <w:sz w:val="28"/>
        </w:rPr>
      </w:pPr>
    </w:p>
    <w:sectPr w:rsidR="00FD3070" w:rsidSect="00E9415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90" w:rsidRDefault="00F67890" w:rsidP="0075330E">
      <w:r>
        <w:separator/>
      </w:r>
    </w:p>
  </w:endnote>
  <w:endnote w:type="continuationSeparator" w:id="1">
    <w:p w:rsidR="00F67890" w:rsidRDefault="00F67890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90" w:rsidRDefault="00F67890" w:rsidP="0075330E">
      <w:r>
        <w:separator/>
      </w:r>
    </w:p>
  </w:footnote>
  <w:footnote w:type="continuationSeparator" w:id="1">
    <w:p w:rsidR="00F67890" w:rsidRDefault="00F67890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3B66"/>
    <w:rsid w:val="0011359D"/>
    <w:rsid w:val="00152A67"/>
    <w:rsid w:val="0015673F"/>
    <w:rsid w:val="001E6F9C"/>
    <w:rsid w:val="001F0638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4F18FE"/>
    <w:rsid w:val="004F2079"/>
    <w:rsid w:val="005128D9"/>
    <w:rsid w:val="005711EC"/>
    <w:rsid w:val="005A0234"/>
    <w:rsid w:val="005A154D"/>
    <w:rsid w:val="005B5659"/>
    <w:rsid w:val="005C582B"/>
    <w:rsid w:val="005D1226"/>
    <w:rsid w:val="006256BA"/>
    <w:rsid w:val="00711537"/>
    <w:rsid w:val="0075330E"/>
    <w:rsid w:val="007F4F34"/>
    <w:rsid w:val="00847718"/>
    <w:rsid w:val="008768FB"/>
    <w:rsid w:val="00896F6E"/>
    <w:rsid w:val="008B6035"/>
    <w:rsid w:val="00937F53"/>
    <w:rsid w:val="00A237A4"/>
    <w:rsid w:val="00A61737"/>
    <w:rsid w:val="00A65D4A"/>
    <w:rsid w:val="00A87182"/>
    <w:rsid w:val="00AB21F8"/>
    <w:rsid w:val="00B56D5D"/>
    <w:rsid w:val="00B66CE6"/>
    <w:rsid w:val="00B752ED"/>
    <w:rsid w:val="00B96B6E"/>
    <w:rsid w:val="00BA0C76"/>
    <w:rsid w:val="00BE443D"/>
    <w:rsid w:val="00C14887"/>
    <w:rsid w:val="00C512D5"/>
    <w:rsid w:val="00C75347"/>
    <w:rsid w:val="00D33170"/>
    <w:rsid w:val="00D54996"/>
    <w:rsid w:val="00D61495"/>
    <w:rsid w:val="00D77578"/>
    <w:rsid w:val="00DF25FB"/>
    <w:rsid w:val="00E13B84"/>
    <w:rsid w:val="00E9415E"/>
    <w:rsid w:val="00EB267B"/>
    <w:rsid w:val="00ED521E"/>
    <w:rsid w:val="00EE052B"/>
    <w:rsid w:val="00F46840"/>
    <w:rsid w:val="00F67890"/>
    <w:rsid w:val="00F775D1"/>
    <w:rsid w:val="00FA4FA7"/>
    <w:rsid w:val="00FD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uiPriority w:val="22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F4F34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  <w:style w:type="paragraph" w:styleId="af6">
    <w:name w:val="Normal (Web)"/>
    <w:basedOn w:val="a"/>
    <w:rsid w:val="007F4F34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customStyle="1" w:styleId="ConsPlusNonformat">
    <w:name w:val="ConsPlusNonformat"/>
    <w:rsid w:val="007F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B1CA-D8A7-43BA-AD17-5685DE88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30</cp:revision>
  <cp:lastPrinted>2022-06-23T00:37:00Z</cp:lastPrinted>
  <dcterms:created xsi:type="dcterms:W3CDTF">2021-06-11T00:48:00Z</dcterms:created>
  <dcterms:modified xsi:type="dcterms:W3CDTF">2022-06-23T00:37:00Z</dcterms:modified>
</cp:coreProperties>
</file>